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686764"/>
          <w:sz w:val="20"/>
          <w:szCs w:val="20"/>
        </w:rPr>
        <w:t xml:space="preserve">VWO 4 · Module 5 · Hoofdstuk 3 §2</w:t>
      </w:r>
    </w:p>
    <w:p>
      <w:pPr>
        <w:spacing w:after="260"/>
      </w:pPr>
      <w:r>
        <w:rPr>
          <w:b/>
          <w:bCs/>
          <w:color w:val="185FA5"/>
          <w:sz w:val="32"/>
          <w:szCs w:val="32"/>
        </w:rPr>
        <w:t xml:space="preserve">Startopdracht — Toe- en uittreding</w:t>
      </w:r>
    </w:p>
    <w:p>
      <w:pPr>
        <w:spacing w:after="60"/>
      </w:pPr>
      <w:r>
        <w:rPr>
          <w:sz w:val="20"/>
          <w:szCs w:val="20"/>
        </w:rPr>
        <w:t xml:space="preserve">Naam:</w:t>
      </w:r>
    </w:p>
    <w:p>
      <w:pPr>
        <w:spacing w:after="60"/>
      </w:pPr>
    </w:p>
    <w:p>
      <w:pPr>
        <w:spacing w:after="60"/>
      </w:pPr>
      <w:r>
        <w:rPr>
          <w:sz w:val="20"/>
          <w:szCs w:val="20"/>
        </w:rPr>
        <w:t xml:space="preserve">Klas:</w:t>
      </w:r>
    </w:p>
    <w:p>
      <w:pPr>
        <w:spacing w:after="200"/>
      </w:pPr>
    </w:p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Voor het lezen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AF2FA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30"/>
            </w:pPr>
            <w:r>
              <w:rPr>
                <w:sz w:val="22"/>
                <w:szCs w:val="22"/>
              </w:rPr>
              <w:t xml:space="preserve">Lees de twee krantenartikelen hieronder. Vergelijk de situatie van Latam met die van de prijsvechters (zoals Easyjet), allebei tegenover KLM.</w:t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a) </w:t>
            </w:r>
            <w:r>
              <w:rPr>
                <w:sz w:val="22"/>
                <w:szCs w:val="22"/>
              </w:rPr>
              <w:t xml:space="preserve">Hoe reageert KLM op de komst van Latam? En hoe reageerde KLM op de prijsvechters?</w:t>
            </w:r>
          </w:p>
          <w:p>
            <w:pPr>
              <w:spacing w:after="26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26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b) </w:t>
            </w:r>
            <w:r>
              <w:rPr>
                <w:sz w:val="22"/>
                <w:szCs w:val="22"/>
              </w:rPr>
              <w:t xml:space="preserve">Wat is het verschil tussen deze twee reacties?</w:t>
            </w:r>
          </w:p>
          <w:p>
            <w:pPr>
              <w:spacing w:after="26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c) </w:t>
            </w:r>
            <w:r>
              <w:rPr>
                <w:sz w:val="22"/>
                <w:szCs w:val="22"/>
              </w:rPr>
              <w:t xml:space="preserve">Wat zou dit verschil kunnen betekenen voor de toetreding — wel of niet?</w:t>
            </w:r>
          </w:p>
          <w:p>
            <w:pPr>
              <w:spacing w:after="26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Artikel 1 — Latam start concurrentie KLM</w:t>
      </w:r>
    </w:p>
    <w:p>
      <w:pPr>
        <w:spacing w:after="260" w:before="80"/>
        <w:jc w:val="center"/>
      </w:pPr>
      <w:r>
        <w:drawing>
          <wp:inline distT="0" distB="0" distL="0" distR="0">
            <wp:extent cx="5857875" cy="3990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Artikel 2 — Aanval KLM op prijsvechters</w:t>
      </w:r>
    </w:p>
    <w:p>
      <w:pPr>
        <w:spacing w:after="200" w:before="80"/>
        <w:jc w:val="center"/>
      </w:pPr>
      <w:r>
        <w:drawing>
          <wp:inline distT="0" distB="0" distL="0" distR="0">
            <wp:extent cx="5857875" cy="3314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Tijdens het lezen</w:t>
      </w:r>
    </w:p>
    <w:p>
      <w:pPr>
        <w:spacing w:after="130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Onderstreep in het Latam-artikel de zin waarin staat waarom Latam geen prijzenoorlog met KLM verwacht.</w:t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pPr>
        <w:spacing w:after="130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Onderstreep in het KLM-artikel de zin waarin KLM zelf het doel van de prijsverlaging benoemt.</w:t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Na het lezen — zelf een opbrengstenboom oplossen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AF2FA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130"/>
            </w:pPr>
            <w:r>
              <w:rPr>
                <w:sz w:val="22"/>
                <w:szCs w:val="22"/>
              </w:rPr>
              <w:t xml:space="preserve">Stel je een nieuwe, fictieve situatie voor: het budgetbedrijf </w:t>
            </w:r>
            <w:r>
              <w:rPr>
                <w:b/>
                <w:bCs/>
                <w:sz w:val="22"/>
                <w:szCs w:val="22"/>
              </w:rPr>
              <w:t xml:space="preserve">SkyDeal</w:t>
            </w:r>
            <w:r>
              <w:rPr>
                <w:sz w:val="22"/>
                <w:szCs w:val="22"/>
              </w:rPr>
              <w:t xml:space="preserve"> overweegt de route Amsterdam–Barcelona te starten, waar </w:t>
            </w:r>
            <w:r>
              <w:rPr>
                <w:b/>
                <w:bCs/>
                <w:sz w:val="22"/>
                <w:szCs w:val="22"/>
              </w:rPr>
              <w:t xml:space="preserve">KLM</w:t>
            </w:r>
            <w:r>
              <w:rPr>
                <w:sz w:val="22"/>
                <w:szCs w:val="22"/>
              </w:rPr>
              <w:t xml:space="preserve"> de enige aanbieder is. SkyDeal kiest als eerste: wel of niet starten. KLM kiest daarna: wel of geen prijsverlaging als reactie. De mogelijke winsten (in duizenden euro’s per maand) staan hieronder in de boom.</w:t>
            </w:r>
          </w:p>
        </w:tc>
      </w:tr>
    </w:tbl>
    <w:p>
      <w:pPr>
        <w:spacing w:after="140" w:before="80"/>
        <w:jc w:val="center"/>
      </w:pPr>
      <w:r>
        <w:drawing>
          <wp:inline distT="0" distB="0" distL="0" distR="0">
            <wp:extent cx="4095750" cy="2562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30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Los de boom op met de onderstreepmethode: onderstreep bij elk van de twee beslispunten van KLM welke van de twee uitkomsten </w:t>
      </w:r>
      <w:r>
        <w:rPr>
          <w:i/>
          <w:iCs/>
          <w:sz w:val="22"/>
          <w:szCs w:val="22"/>
        </w:rPr>
        <w:t xml:space="preserve">voor KLM</w:t>
      </w:r>
      <w:r>
        <w:rPr>
          <w:sz w:val="22"/>
          <w:szCs w:val="22"/>
        </w:rPr>
        <w:t xml:space="preserve"> het hoogst is. Onderstreep daarna bij SkyDeal welke van de twee overgebleven uitkomsten </w:t>
      </w:r>
      <w:r>
        <w:rPr>
          <w:i/>
          <w:iCs/>
          <w:sz w:val="22"/>
          <w:szCs w:val="22"/>
        </w:rPr>
        <w:t xml:space="preserve">voor SkyDeal</w:t>
      </w:r>
      <w:r>
        <w:rPr>
          <w:sz w:val="22"/>
          <w:szCs w:val="22"/>
        </w:rPr>
        <w:t xml:space="preserve"> het hoogst is.</w:t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pPr>
        <w:spacing w:after="130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Redeneer terug: wat kiest KLM als SkyDeal wel start? En als SkyDeal niet start?</w:t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pPr>
        <w:spacing w:after="130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Wat kiest SkyDeal daarom? Wat is het Nash-evenwicht?</w:t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pPr>
        <w:spacing w:after="130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Is KLM’s dreiging met een prijsverlaging hier geloofwaardig? Wordt de toetreding geaccommodeerd of afgewend?</w:t>
      </w:r>
    </w:p>
    <w:p>
      <w:pPr>
        <w:spacing w:after="260"/>
      </w:pPr>
      <w:r>
        <w:rPr>
          <w:sz w:val="22"/>
          <w:szCs w:val="22"/>
        </w:rPr>
        <w:t xml:space="preserve"/>
      </w:r>
    </w:p>
    <w:p>
      <w:r>
        <w:br w:type="page"/>
      </w:r>
    </w:p>
    <w:p>
      <w:pPr>
        <w:spacing w:after="40"/>
      </w:pPr>
      <w:r>
        <w:rPr>
          <w:color w:val="686764"/>
          <w:sz w:val="20"/>
          <w:szCs w:val="20"/>
        </w:rPr>
        <w:t xml:space="preserve">VWO 4 · Module 5 · Hoofdstuk 3 §2</w:t>
      </w:r>
    </w:p>
    <w:p>
      <w:pPr>
        <w:spacing w:after="260"/>
      </w:pPr>
      <w:r>
        <w:rPr>
          <w:b/>
          <w:bCs/>
          <w:color w:val="1A9E74"/>
          <w:sz w:val="30"/>
          <w:szCs w:val="30"/>
        </w:rPr>
        <w:t xml:space="preserve">Toe- en uittreding — Antwoordmodel</w:t>
      </w:r>
    </w:p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Voor het lezen — denkvraag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7F5EF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A9E74"/>
                <w:sz w:val="20"/>
                <w:szCs w:val="20"/>
              </w:rPr>
              <w:t xml:space="preserve">Antwoordmodel</w:t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a) </w:t>
            </w:r>
            <w:r>
              <w:rPr>
                <w:sz w:val="22"/>
                <w:szCs w:val="22"/>
              </w:rPr>
              <w:t xml:space="preserve">Bij Latam: KLM reageert niet zichtbaar — geen aangekondigde tegenmaatregelen, Latam mag de route gewoon starten. Bij de prijsvechters: KLM verlaagt daadwerkelijk fors de prijzen (op 38 van de 76 Europese bestemmingen naar €99) om marktaandeel terug te winnen.</w:t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b) </w:t>
            </w:r>
            <w:r>
              <w:rPr>
                <w:sz w:val="22"/>
                <w:szCs w:val="22"/>
              </w:rPr>
              <w:t xml:space="preserve">Bij Latam is er geen zichtbare dreiging van KLM — of een </w:t>
            </w:r>
            <w:r>
              <w:rPr>
                <w:b/>
                <w:bCs/>
                <w:sz w:val="22"/>
                <w:szCs w:val="22"/>
              </w:rPr>
              <w:t xml:space="preserve">niet-geloofwaardige</w:t>
            </w:r>
            <w:r>
              <w:rPr>
                <w:sz w:val="22"/>
                <w:szCs w:val="22"/>
              </w:rPr>
              <w:t xml:space="preserve"> dreiging. Bij de prijsvechters voert KLM een concrete, harde prijsverlaging ook echt uit — dat wijst op een </w:t>
            </w:r>
            <w:r>
              <w:rPr>
                <w:b/>
                <w:bCs/>
                <w:sz w:val="22"/>
                <w:szCs w:val="22"/>
              </w:rPr>
              <w:t xml:space="preserve">geloofwaardige</w:t>
            </w:r>
            <w:r>
              <w:rPr>
                <w:sz w:val="22"/>
                <w:szCs w:val="22"/>
              </w:rPr>
              <w:t xml:space="preserve"> dreiging.</w:t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c) </w:t>
            </w:r>
            <w:r>
              <w:rPr>
                <w:sz w:val="22"/>
                <w:szCs w:val="22"/>
              </w:rPr>
              <w:t xml:space="preserve">Bij Latam verwacht je eerder </w:t>
            </w:r>
            <w:r>
              <w:rPr>
                <w:b/>
                <w:bCs/>
                <w:sz w:val="22"/>
                <w:szCs w:val="22"/>
              </w:rPr>
              <w:t xml:space="preserve">wel toetreding</w:t>
            </w:r>
            <w:r>
              <w:rPr>
                <w:sz w:val="22"/>
                <w:szCs w:val="22"/>
              </w:rPr>
              <w:t xml:space="preserve">: zonder geloofwaardige dreiging heeft een toetreder weinig reden om weg te blijven. Bij de prijsvechters zie je dat KLM alsnog stevig terugvecht — dat past bij een poging om verdere toetreding of verdere groei van concurrenten </w:t>
            </w:r>
            <w:r>
              <w:rPr>
                <w:b/>
                <w:bCs/>
                <w:sz w:val="22"/>
                <w:szCs w:val="22"/>
              </w:rPr>
              <w:t xml:space="preserve">(mogelijk) af te wenden</w:t>
            </w:r>
            <w:r>
              <w:rPr>
                <w:sz w:val="22"/>
                <w:szCs w:val="22"/>
              </w:rPr>
              <w:t xml:space="preserve">, of in elk geval marktaandeel terug te winnen.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AF2FA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A9E74"/>
                <w:sz w:val="20"/>
                <w:szCs w:val="20"/>
              </w:rPr>
              <w:t xml:space="preserve">Docenttip</w:t>
            </w:r>
          </w:p>
          <w:p>
            <w:pPr>
              <w:spacing w:after="130"/>
            </w:pPr>
            <w:r>
              <w:rPr>
                <w:sz w:val="22"/>
                <w:szCs w:val="22"/>
              </w:rPr>
              <w:t xml:space="preserve">Een nuance om zelf paraat te hebben: Easyjet en de andere prijsvechters zijn hier al lang toegetreden — KLM reageert nu pas, jaren later. Dit is dus strikt genomen geen “toetreding voorkomen” meer, maar wel hetzelfde onderliggende mechanisme: KLM laat zien dat de dreiging van een agressieve prijsreactie bij hen wél geloofwaardig is. Gebruik dit gerust om door te vragen: “Is deze toetreding nog te voorkomen, of is dit eerder een poging om marktaandeel terug te winnen?”</w:t>
            </w:r>
          </w:p>
        </w:tc>
      </w:tr>
    </w:tbl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Vraag 1 en 2 — de artikelen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7F5EF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A9E74"/>
                <w:sz w:val="20"/>
                <w:szCs w:val="20"/>
              </w:rPr>
              <w:t xml:space="preserve">Antwoordmodel</w:t>
            </w:r>
          </w:p>
          <w:p>
            <w:pPr>
              <w:spacing w:after="130"/>
            </w:pPr>
            <w:r>
              <w:rPr>
                <w:sz w:val="22"/>
                <w:szCs w:val="22"/>
              </w:rPr>
              <w:t xml:space="preserve">1. “Wij kunnen prima naast elkaar vliegen, de vraag en markt is groot genoeg voor beide bedrijven.” — Latam verwacht geen tegenreactie omdat de markt volgens hen groot genoeg is voor beide bedrijven.</w:t>
            </w:r>
          </w:p>
          <w:p>
            <w:pPr>
              <w:spacing w:after="130"/>
            </w:pPr>
            <w:r>
              <w:rPr>
                <w:sz w:val="22"/>
                <w:szCs w:val="22"/>
              </w:rPr>
              <w:t xml:space="preserve">2. “We gaan marktaandeel terugpakken op Schiphol.” — KLM verlaagt de prijzen expliciet om weggelopen klanten terug te halen van prijsvechters als Easyjet.</w:t>
            </w:r>
          </w:p>
        </w:tc>
      </w:tr>
    </w:tbl>
    <w:p>
      <w:pPr>
        <w:spacing w:after="110" w:before="260"/>
      </w:pPr>
      <w:r>
        <w:rPr>
          <w:b/>
          <w:bCs/>
          <w:color w:val="185FA5"/>
          <w:sz w:val="26"/>
          <w:szCs w:val="26"/>
        </w:rPr>
        <w:t xml:space="preserve">Vraag 3 t/m 6 — de opbrengstenboom</w:t>
      </w:r>
    </w:p>
    <w:p>
      <w:pPr>
        <w:spacing w:after="180" w:before="80"/>
        <w:jc w:val="center"/>
      </w:pPr>
      <w:r>
        <w:drawing>
          <wp:inline distT="0" distB="0" distL="0" distR="0">
            <wp:extent cx="4381500" cy="2743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7F5EF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A9E74"/>
                <w:sz w:val="20"/>
                <w:szCs w:val="20"/>
              </w:rPr>
              <w:t xml:space="preserve">Antwoordmodel</w:t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  <w:r>
              <w:rPr>
                <w:sz w:val="22"/>
                <w:szCs w:val="22"/>
              </w:rPr>
              <w:t xml:space="preserve">Als SkyDeal start: KLM vergelijkt 340 (wel prijsverlaging) met 380 (geen prijsverlaging) en kiest voor </w:t>
            </w:r>
            <w:r>
              <w:rPr>
                <w:b/>
                <w:bCs/>
                <w:sz w:val="22"/>
                <w:szCs w:val="22"/>
              </w:rPr>
              <w:t xml:space="preserve">geen prijsverlaging</w:t>
            </w:r>
            <w:r>
              <w:rPr>
                <w:sz w:val="22"/>
                <w:szCs w:val="22"/>
              </w:rPr>
              <w:t xml:space="preserve">. Als SkyDeal niet start: KLM vergelijkt 360 met 420 en kiest ook dan voor </w:t>
            </w:r>
            <w:r>
              <w:rPr>
                <w:b/>
                <w:bCs/>
                <w:sz w:val="22"/>
                <w:szCs w:val="22"/>
              </w:rPr>
              <w:t xml:space="preserve">geen prijsverlaging</w:t>
            </w:r>
            <w:r>
              <w:rPr>
                <w:sz w:val="22"/>
                <w:szCs w:val="22"/>
              </w:rPr>
              <w:t xml:space="preserve"> (al maakt dit voor SkyDeal niet uit).</w:t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  <w:r>
              <w:rPr>
                <w:sz w:val="22"/>
                <w:szCs w:val="22"/>
              </w:rPr>
              <w:t xml:space="preserve">SkyDeal vergelijkt daarom 80 (starten, met als reactie geen prijsverlaging) met 0 (niet starten) en kiest voor </w:t>
            </w:r>
            <w:r>
              <w:rPr>
                <w:b/>
                <w:bCs/>
                <w:sz w:val="22"/>
                <w:szCs w:val="22"/>
              </w:rPr>
              <w:t xml:space="preserve">wel starten</w:t>
            </w:r>
            <w:r>
              <w:rPr>
                <w:sz w:val="22"/>
                <w:szCs w:val="22"/>
              </w:rPr>
              <w:t xml:space="preserve">. Het Nash-evenwicht is </w:t>
            </w:r>
            <w:r>
              <w:rPr>
                <w:b/>
                <w:bCs/>
                <w:sz w:val="22"/>
                <w:szCs w:val="22"/>
              </w:rPr>
              <w:t xml:space="preserve">{wel starten, geen prijsverlaging}</w:t>
            </w:r>
            <w:r>
              <w:rPr>
                <w:sz w:val="22"/>
                <w:szCs w:val="22"/>
              </w:rPr>
              <w:t xml:space="preserve"> = SkyDeal €80.000, KLM €380.000.</w:t>
            </w:r>
          </w:p>
          <w:p>
            <w:pPr>
              <w:spacing w:after="130"/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  <w:r>
              <w:rPr>
                <w:sz w:val="22"/>
                <w:szCs w:val="22"/>
              </w:rPr>
              <w:t xml:space="preserve">KLM’s dreiging is </w:t>
            </w:r>
            <w:r>
              <w:rPr>
                <w:b/>
                <w:bCs/>
                <w:sz w:val="22"/>
                <w:szCs w:val="22"/>
              </w:rPr>
              <w:t xml:space="preserve">niet geloofwaardig</w:t>
            </w:r>
            <w:r>
              <w:rPr>
                <w:sz w:val="22"/>
                <w:szCs w:val="22"/>
              </w:rPr>
              <w:t xml:space="preserve">: een prijsverlaging kost KLM zelf meer dan hij oplevert (340 &lt; 380), dus als puntje bij paaltje komt voert KLM de dreiging niet uit. SkyDeal doorziet dit en treedt gewoon toe. De toetreding wordt </w:t>
            </w:r>
            <w:r>
              <w:rPr>
                <w:b/>
                <w:bCs/>
                <w:sz w:val="22"/>
                <w:szCs w:val="22"/>
              </w:rPr>
              <w:t xml:space="preserve">geaccommodeerd</w:t>
            </w:r>
            <w:r>
              <w:rPr>
                <w:sz w:val="22"/>
                <w:szCs w:val="22"/>
              </w:rPr>
              <w:t xml:space="preserve">.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AF2FA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A9E74"/>
                <w:sz w:val="20"/>
                <w:szCs w:val="20"/>
              </w:rPr>
              <w:t xml:space="preserve">Docenttip</w:t>
            </w:r>
          </w:p>
          <w:p>
            <w:pPr>
              <w:spacing w:after="130"/>
            </w:pPr>
            <w:r>
              <w:rPr>
                <w:sz w:val="22"/>
                <w:szCs w:val="22"/>
              </w:rPr>
              <w:t xml:space="preserve">Dit is bewust dezelfde structuur als het Iris/Noah-voorbeeld uit de theorie (niet-geloofwaardige dreiging, toetreding geaccommodeerd), maar met nieuwe bedragen en een herkenbare, actuele context. Wil je ook het spiegelbeeld laten zien (een </w:t>
            </w:r>
            <w:r>
              <w:rPr>
                <w:i/>
                <w:iCs/>
                <w:sz w:val="22"/>
                <w:szCs w:val="22"/>
              </w:rPr>
              <w:t xml:space="preserve">wél</w:t>
            </w:r>
            <w:r>
              <w:rPr>
                <w:sz w:val="22"/>
                <w:szCs w:val="22"/>
              </w:rPr>
              <w:t xml:space="preserve"> geloofwaardige dreiging, toetreding afgewend), verwijs dan terug naar Noah’s tweede boom in de theorie — daar is precies hetzelfde patroon te zien met een andere aanleiding (Noah vindt een goedkopere leverancier).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86764"/>
        <w:sz w:val="16"/>
        <w:szCs w:val="16"/>
      </w:rPr>
      <w:t xml:space="preserve">Pagina </w:t>
    </w:r>
    <w:r>
      <w:rPr>
        <w:color w:val="68676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86764"/>
        <w:sz w:val="16"/>
        <w:szCs w:val="16"/>
      </w:rPr>
      <w:t xml:space="preserve">Econivo · Economie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8e0e9f6f64f9cb6f59c2d02864ec0bc87e7ecde.jpg"/><Relationship Id="rId10" Type="http://schemas.openxmlformats.org/officeDocument/2006/relationships/image" Target="media/0f771f0aea6b5b3fb2917ddc95ee06acb20f8cf6.png"/><Relationship Id="rId11" Type="http://schemas.openxmlformats.org/officeDocument/2006/relationships/image" Target="media/452dc661222ed0982f345587c63943829901b35d.png"/><Relationship Id="rId12" Type="http://schemas.openxmlformats.org/officeDocument/2006/relationships/image" Target="media/8ede095bd9a7ffa931c6c2569c8a6e2f05eb9da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2026-09-24T11:08:39.473Z</dcterms:created>
  <dcterms:modified xsi:type="dcterms:W3CDTF">2026-09-24T11:08:39.473Z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